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C2" w:rsidRDefault="0038015D">
      <w:pPr>
        <w:rPr>
          <w:color w:val="44546A" w:themeColor="text2"/>
          <w:sz w:val="40"/>
          <w:szCs w:val="40"/>
        </w:rPr>
      </w:pPr>
      <w:r w:rsidRPr="0038015D">
        <w:rPr>
          <w:color w:val="44546A" w:themeColor="text2"/>
          <w:sz w:val="40"/>
          <w:szCs w:val="40"/>
        </w:rPr>
        <w:t>Routine Monitoring and Reporting Tool</w:t>
      </w:r>
    </w:p>
    <w:tbl>
      <w:tblPr>
        <w:tblStyle w:val="TableGrid"/>
        <w:tblpPr w:leftFromText="180" w:rightFromText="180" w:vertAnchor="page" w:horzAnchor="margin" w:tblpY="2566"/>
        <w:tblW w:w="17431" w:type="dxa"/>
        <w:tblLook w:val="04A0" w:firstRow="1" w:lastRow="0" w:firstColumn="1" w:lastColumn="0" w:noHBand="0" w:noVBand="1"/>
      </w:tblPr>
      <w:tblGrid>
        <w:gridCol w:w="2490"/>
        <w:gridCol w:w="2490"/>
        <w:gridCol w:w="2490"/>
        <w:gridCol w:w="2490"/>
        <w:gridCol w:w="2490"/>
        <w:gridCol w:w="2490"/>
        <w:gridCol w:w="2491"/>
      </w:tblGrid>
      <w:tr w:rsidR="00F97160" w:rsidTr="00F97160">
        <w:trPr>
          <w:trHeight w:val="841"/>
        </w:trPr>
        <w:tc>
          <w:tcPr>
            <w:tcW w:w="2490" w:type="dxa"/>
            <w:shd w:val="clear" w:color="auto" w:fill="1F497D"/>
            <w:vAlign w:val="center"/>
          </w:tcPr>
          <w:p w:rsidR="00F97160" w:rsidRPr="00DF5AEC" w:rsidRDefault="00F97160" w:rsidP="00B0596F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DF5AEC">
              <w:rPr>
                <w:b/>
                <w:color w:val="FFFFFF" w:themeColor="background1"/>
                <w:sz w:val="28"/>
              </w:rPr>
              <w:t xml:space="preserve">Program </w:t>
            </w:r>
            <w:r w:rsidR="00DC6004">
              <w:rPr>
                <w:b/>
                <w:color w:val="FFFFFF" w:themeColor="background1"/>
                <w:sz w:val="28"/>
              </w:rPr>
              <w:t xml:space="preserve">Intervention / </w:t>
            </w:r>
            <w:bookmarkStart w:id="0" w:name="_GoBack"/>
            <w:bookmarkEnd w:id="0"/>
            <w:r w:rsidRPr="00DF5AEC">
              <w:rPr>
                <w:b/>
                <w:color w:val="FFFFFF" w:themeColor="background1"/>
                <w:sz w:val="28"/>
              </w:rPr>
              <w:t>Component</w:t>
            </w:r>
          </w:p>
        </w:tc>
        <w:tc>
          <w:tcPr>
            <w:tcW w:w="2490" w:type="dxa"/>
            <w:shd w:val="clear" w:color="auto" w:fill="1F497D"/>
            <w:vAlign w:val="center"/>
          </w:tcPr>
          <w:p w:rsidR="00F97160" w:rsidRPr="00DF5AEC" w:rsidRDefault="00F97160" w:rsidP="00B0596F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DF5AEC">
              <w:rPr>
                <w:b/>
                <w:color w:val="FFFFFF" w:themeColor="background1"/>
                <w:sz w:val="28"/>
              </w:rPr>
              <w:t>Indicator</w:t>
            </w:r>
          </w:p>
        </w:tc>
        <w:tc>
          <w:tcPr>
            <w:tcW w:w="2490" w:type="dxa"/>
            <w:shd w:val="clear" w:color="auto" w:fill="1F497D"/>
          </w:tcPr>
          <w:p w:rsidR="00F97160" w:rsidRDefault="00F97160" w:rsidP="00B0596F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F97160">
              <w:rPr>
                <w:b/>
                <w:color w:val="FFFFFF" w:themeColor="background1"/>
                <w:sz w:val="28"/>
              </w:rPr>
              <w:t>How will the indicator data be used?</w:t>
            </w:r>
          </w:p>
        </w:tc>
        <w:tc>
          <w:tcPr>
            <w:tcW w:w="2490" w:type="dxa"/>
            <w:shd w:val="clear" w:color="auto" w:fill="1F497D"/>
            <w:vAlign w:val="center"/>
          </w:tcPr>
          <w:p w:rsidR="00F97160" w:rsidRPr="00DF5AEC" w:rsidRDefault="00F97160" w:rsidP="00B0596F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Baseline</w:t>
            </w:r>
          </w:p>
        </w:tc>
        <w:tc>
          <w:tcPr>
            <w:tcW w:w="2490" w:type="dxa"/>
            <w:shd w:val="clear" w:color="auto" w:fill="1F497D"/>
            <w:vAlign w:val="center"/>
          </w:tcPr>
          <w:p w:rsidR="00F97160" w:rsidRPr="00DF5AEC" w:rsidRDefault="00F97160" w:rsidP="00B0596F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DF5AEC">
              <w:rPr>
                <w:b/>
                <w:color w:val="FFFFFF" w:themeColor="background1"/>
                <w:sz w:val="28"/>
              </w:rPr>
              <w:t>Reporting frequency</w:t>
            </w:r>
          </w:p>
        </w:tc>
        <w:tc>
          <w:tcPr>
            <w:tcW w:w="2490" w:type="dxa"/>
            <w:shd w:val="clear" w:color="auto" w:fill="1F497D"/>
            <w:vAlign w:val="center"/>
          </w:tcPr>
          <w:p w:rsidR="00F97160" w:rsidRPr="00DF5AEC" w:rsidRDefault="00F97160" w:rsidP="00B0596F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 xml:space="preserve">Benchmarks/ </w:t>
            </w:r>
            <w:r w:rsidRPr="00DF5AEC">
              <w:rPr>
                <w:b/>
                <w:color w:val="FFFFFF" w:themeColor="background1"/>
                <w:sz w:val="28"/>
              </w:rPr>
              <w:t>Targets</w:t>
            </w:r>
            <w:r>
              <w:rPr>
                <w:b/>
                <w:color w:val="FFFFFF" w:themeColor="background1"/>
                <w:sz w:val="28"/>
              </w:rPr>
              <w:t xml:space="preserve"> </w:t>
            </w:r>
          </w:p>
        </w:tc>
        <w:tc>
          <w:tcPr>
            <w:tcW w:w="2491" w:type="dxa"/>
            <w:shd w:val="clear" w:color="auto" w:fill="1F497D"/>
            <w:vAlign w:val="center"/>
          </w:tcPr>
          <w:p w:rsidR="00F97160" w:rsidRPr="00DF5AEC" w:rsidRDefault="00F97160" w:rsidP="00B0596F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DF5AEC">
              <w:rPr>
                <w:b/>
                <w:color w:val="FFFFFF" w:themeColor="background1"/>
                <w:sz w:val="28"/>
              </w:rPr>
              <w:t>Lead</w:t>
            </w:r>
          </w:p>
        </w:tc>
      </w:tr>
      <w:tr w:rsidR="00F97160" w:rsidTr="00F97160">
        <w:trPr>
          <w:trHeight w:val="1256"/>
        </w:trPr>
        <w:tc>
          <w:tcPr>
            <w:tcW w:w="2490" w:type="dxa"/>
            <w:shd w:val="clear" w:color="auto" w:fill="DBE5F1"/>
          </w:tcPr>
          <w:p w:rsidR="00F97160" w:rsidRPr="00DF5AEC" w:rsidRDefault="00F97160" w:rsidP="00B0596F">
            <w:pPr>
              <w:rPr>
                <w:i/>
              </w:rPr>
            </w:pPr>
            <w:r w:rsidRPr="00DF5AEC">
              <w:rPr>
                <w:i/>
              </w:rPr>
              <w:t xml:space="preserve">Specify the program </w:t>
            </w:r>
            <w:r w:rsidR="0045547F">
              <w:rPr>
                <w:i/>
              </w:rPr>
              <w:t xml:space="preserve">intervention / </w:t>
            </w:r>
            <w:r w:rsidRPr="00DF5AEC">
              <w:rPr>
                <w:i/>
              </w:rPr>
              <w:t>component the indicator is related to</w:t>
            </w:r>
          </w:p>
        </w:tc>
        <w:tc>
          <w:tcPr>
            <w:tcW w:w="2490" w:type="dxa"/>
            <w:shd w:val="clear" w:color="auto" w:fill="DBE5F1"/>
          </w:tcPr>
          <w:p w:rsidR="00F97160" w:rsidRPr="00DF5AEC" w:rsidRDefault="00F97160" w:rsidP="00F97160">
            <w:pPr>
              <w:rPr>
                <w:i/>
              </w:rPr>
            </w:pPr>
            <w:r w:rsidRPr="00DF5AEC">
              <w:rPr>
                <w:i/>
              </w:rPr>
              <w:t>Specify the indicator</w:t>
            </w:r>
            <w:r>
              <w:rPr>
                <w:i/>
              </w:rPr>
              <w:t xml:space="preserve"> and identify the type of indicator (e.g. program process indicator)  </w:t>
            </w:r>
          </w:p>
        </w:tc>
        <w:tc>
          <w:tcPr>
            <w:tcW w:w="2490" w:type="dxa"/>
            <w:shd w:val="clear" w:color="auto" w:fill="DBE5F1"/>
          </w:tcPr>
          <w:p w:rsidR="00F97160" w:rsidRDefault="00F97160" w:rsidP="00B0596F">
            <w:pPr>
              <w:rPr>
                <w:i/>
              </w:rPr>
            </w:pPr>
            <w:r>
              <w:rPr>
                <w:i/>
              </w:rPr>
              <w:t>Will the data be reported on the Annual service plans? PBTs? Balanced Scorecard?</w:t>
            </w:r>
          </w:p>
        </w:tc>
        <w:tc>
          <w:tcPr>
            <w:tcW w:w="2490" w:type="dxa"/>
            <w:shd w:val="clear" w:color="auto" w:fill="DBE5F1"/>
          </w:tcPr>
          <w:p w:rsidR="00F97160" w:rsidRPr="00DF5AEC" w:rsidRDefault="00F97160" w:rsidP="00B0596F">
            <w:pPr>
              <w:rPr>
                <w:i/>
              </w:rPr>
            </w:pPr>
            <w:r>
              <w:rPr>
                <w:i/>
              </w:rPr>
              <w:t>What was the baseline measure for the indicator?</w:t>
            </w:r>
          </w:p>
        </w:tc>
        <w:tc>
          <w:tcPr>
            <w:tcW w:w="2490" w:type="dxa"/>
            <w:shd w:val="clear" w:color="auto" w:fill="DBE5F1"/>
          </w:tcPr>
          <w:p w:rsidR="00F97160" w:rsidRPr="00DF5AEC" w:rsidRDefault="00F97160" w:rsidP="00F97160">
            <w:pPr>
              <w:rPr>
                <w:i/>
              </w:rPr>
            </w:pPr>
            <w:r>
              <w:rPr>
                <w:i/>
              </w:rPr>
              <w:t>Specify the when indicator can be reported</w:t>
            </w:r>
            <w:r w:rsidRPr="00DF5AEC">
              <w:rPr>
                <w:i/>
              </w:rPr>
              <w:t>?</w:t>
            </w:r>
          </w:p>
        </w:tc>
        <w:tc>
          <w:tcPr>
            <w:tcW w:w="2490" w:type="dxa"/>
            <w:shd w:val="clear" w:color="auto" w:fill="DBE5F1"/>
          </w:tcPr>
          <w:p w:rsidR="00F97160" w:rsidRPr="00DF5AEC" w:rsidRDefault="00F97160" w:rsidP="00B0596F">
            <w:pPr>
              <w:rPr>
                <w:i/>
              </w:rPr>
            </w:pPr>
            <w:r w:rsidRPr="00DF5AEC">
              <w:rPr>
                <w:i/>
              </w:rPr>
              <w:t>Identify the targets</w:t>
            </w:r>
            <w:r>
              <w:rPr>
                <w:i/>
              </w:rPr>
              <w:t>/ benchmarks</w:t>
            </w:r>
            <w:r w:rsidRPr="00DF5AEC">
              <w:rPr>
                <w:i/>
              </w:rPr>
              <w:t xml:space="preserve"> that are appropriate within the identified reporting frequency</w:t>
            </w:r>
          </w:p>
        </w:tc>
        <w:tc>
          <w:tcPr>
            <w:tcW w:w="2491" w:type="dxa"/>
            <w:shd w:val="clear" w:color="auto" w:fill="DBE5F1"/>
          </w:tcPr>
          <w:p w:rsidR="00F97160" w:rsidRPr="00DF5AEC" w:rsidRDefault="00F97160" w:rsidP="00B0596F">
            <w:pPr>
              <w:rPr>
                <w:i/>
              </w:rPr>
            </w:pPr>
            <w:r w:rsidRPr="00DF5AEC">
              <w:rPr>
                <w:i/>
              </w:rPr>
              <w:t xml:space="preserve">Who is responsible for </w:t>
            </w:r>
            <w:r>
              <w:rPr>
                <w:i/>
              </w:rPr>
              <w:t>calculating the indicator at each reporting time period?</w:t>
            </w:r>
          </w:p>
        </w:tc>
      </w:tr>
      <w:tr w:rsidR="00F97160" w:rsidTr="00F97160">
        <w:trPr>
          <w:trHeight w:val="609"/>
        </w:trPr>
        <w:tc>
          <w:tcPr>
            <w:tcW w:w="2490" w:type="dxa"/>
            <w:vMerge w:val="restart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1" w:type="dxa"/>
          </w:tcPr>
          <w:p w:rsidR="00F97160" w:rsidRDefault="00F97160" w:rsidP="00B0596F"/>
        </w:tc>
      </w:tr>
      <w:tr w:rsidR="00F97160" w:rsidTr="00F97160">
        <w:trPr>
          <w:trHeight w:val="575"/>
        </w:trPr>
        <w:tc>
          <w:tcPr>
            <w:tcW w:w="2490" w:type="dxa"/>
            <w:vMerge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1" w:type="dxa"/>
          </w:tcPr>
          <w:p w:rsidR="00F97160" w:rsidRDefault="00F97160" w:rsidP="00B0596F"/>
        </w:tc>
      </w:tr>
      <w:tr w:rsidR="00F97160" w:rsidTr="00F97160">
        <w:trPr>
          <w:trHeight w:val="609"/>
        </w:trPr>
        <w:tc>
          <w:tcPr>
            <w:tcW w:w="2490" w:type="dxa"/>
            <w:vMerge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1" w:type="dxa"/>
          </w:tcPr>
          <w:p w:rsidR="00F97160" w:rsidRDefault="00F97160" w:rsidP="00B0596F"/>
        </w:tc>
      </w:tr>
      <w:tr w:rsidR="00F97160" w:rsidTr="00F97160">
        <w:trPr>
          <w:trHeight w:val="609"/>
        </w:trPr>
        <w:tc>
          <w:tcPr>
            <w:tcW w:w="2490" w:type="dxa"/>
            <w:vMerge w:val="restart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1" w:type="dxa"/>
          </w:tcPr>
          <w:p w:rsidR="00F97160" w:rsidRDefault="00F97160" w:rsidP="00B0596F"/>
        </w:tc>
      </w:tr>
      <w:tr w:rsidR="00F97160" w:rsidTr="00F97160">
        <w:trPr>
          <w:trHeight w:val="575"/>
        </w:trPr>
        <w:tc>
          <w:tcPr>
            <w:tcW w:w="2490" w:type="dxa"/>
            <w:vMerge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1" w:type="dxa"/>
          </w:tcPr>
          <w:p w:rsidR="00F97160" w:rsidRDefault="00F97160" w:rsidP="00B0596F"/>
        </w:tc>
      </w:tr>
      <w:tr w:rsidR="00F97160" w:rsidTr="00F97160">
        <w:trPr>
          <w:trHeight w:val="575"/>
        </w:trPr>
        <w:tc>
          <w:tcPr>
            <w:tcW w:w="2490" w:type="dxa"/>
            <w:vMerge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1" w:type="dxa"/>
          </w:tcPr>
          <w:p w:rsidR="00F97160" w:rsidRDefault="00F97160" w:rsidP="00B0596F"/>
        </w:tc>
      </w:tr>
      <w:tr w:rsidR="00F97160" w:rsidTr="00F97160">
        <w:trPr>
          <w:trHeight w:val="575"/>
        </w:trPr>
        <w:tc>
          <w:tcPr>
            <w:tcW w:w="2490" w:type="dxa"/>
            <w:vMerge w:val="restart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1" w:type="dxa"/>
          </w:tcPr>
          <w:p w:rsidR="00F97160" w:rsidRDefault="00F97160" w:rsidP="00B0596F"/>
        </w:tc>
      </w:tr>
      <w:tr w:rsidR="00F97160" w:rsidTr="00F97160">
        <w:trPr>
          <w:trHeight w:val="575"/>
        </w:trPr>
        <w:tc>
          <w:tcPr>
            <w:tcW w:w="2490" w:type="dxa"/>
            <w:vMerge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1" w:type="dxa"/>
          </w:tcPr>
          <w:p w:rsidR="00F97160" w:rsidRDefault="00F97160" w:rsidP="00B0596F"/>
        </w:tc>
      </w:tr>
      <w:tr w:rsidR="00F97160" w:rsidTr="00F97160">
        <w:trPr>
          <w:trHeight w:val="575"/>
        </w:trPr>
        <w:tc>
          <w:tcPr>
            <w:tcW w:w="2490" w:type="dxa"/>
            <w:vMerge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0" w:type="dxa"/>
          </w:tcPr>
          <w:p w:rsidR="00F97160" w:rsidRDefault="00F97160" w:rsidP="00B0596F"/>
        </w:tc>
        <w:tc>
          <w:tcPr>
            <w:tcW w:w="2491" w:type="dxa"/>
          </w:tcPr>
          <w:p w:rsidR="00F97160" w:rsidRDefault="00F97160" w:rsidP="00B0596F"/>
        </w:tc>
      </w:tr>
    </w:tbl>
    <w:p w:rsidR="0038015D" w:rsidRPr="0038015D" w:rsidRDefault="0038015D">
      <w:pPr>
        <w:rPr>
          <w:color w:val="44546A" w:themeColor="text2"/>
          <w:sz w:val="28"/>
          <w:szCs w:val="28"/>
        </w:rPr>
      </w:pPr>
      <w:r w:rsidRPr="0038015D">
        <w:rPr>
          <w:color w:val="44546A" w:themeColor="text2"/>
          <w:sz w:val="28"/>
          <w:szCs w:val="28"/>
        </w:rPr>
        <w:t>Name of the program:</w:t>
      </w:r>
    </w:p>
    <w:sectPr w:rsidR="0038015D" w:rsidRPr="0038015D" w:rsidSect="00F97160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15D"/>
    <w:rsid w:val="0016787E"/>
    <w:rsid w:val="0038015D"/>
    <w:rsid w:val="003B44A2"/>
    <w:rsid w:val="0045547F"/>
    <w:rsid w:val="005279C2"/>
    <w:rsid w:val="007933BA"/>
    <w:rsid w:val="00B0596F"/>
    <w:rsid w:val="00D144F4"/>
    <w:rsid w:val="00DC6004"/>
    <w:rsid w:val="00DF5AEC"/>
    <w:rsid w:val="00F9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80FC"/>
  <w15:chartTrackingRefBased/>
  <w15:docId w15:val="{C528E067-CBE5-466B-9126-A4D8149C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Sameena Vadivelu</dc:creator>
  <cp:keywords/>
  <dc:description/>
  <cp:lastModifiedBy>Jordan Banninga</cp:lastModifiedBy>
  <cp:revision>5</cp:revision>
  <dcterms:created xsi:type="dcterms:W3CDTF">2018-04-04T12:55:00Z</dcterms:created>
  <dcterms:modified xsi:type="dcterms:W3CDTF">2018-06-25T16:04:00Z</dcterms:modified>
</cp:coreProperties>
</file>